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7E" w:rsidRDefault="000C3D7E" w:rsidP="000C3D7E">
      <w:pPr>
        <w:pStyle w:val="Default"/>
        <w:rPr>
          <w:sz w:val="12"/>
          <w:szCs w:val="12"/>
        </w:rPr>
      </w:pPr>
      <w:bookmarkStart w:id="0" w:name="_GoBack"/>
      <w:bookmarkEnd w:id="0"/>
    </w:p>
    <w:p w:rsidR="000C3D7E" w:rsidRDefault="000C3D7E" w:rsidP="000C3D7E">
      <w:pPr>
        <w:pStyle w:val="Default"/>
        <w:rPr>
          <w:sz w:val="12"/>
          <w:szCs w:val="12"/>
        </w:rPr>
      </w:pPr>
    </w:p>
    <w:p w:rsidR="000C3D7E" w:rsidRDefault="000C3D7E" w:rsidP="000C3D7E">
      <w:pPr>
        <w:pStyle w:val="Default"/>
        <w:rPr>
          <w:sz w:val="12"/>
          <w:szCs w:val="12"/>
        </w:rPr>
      </w:pPr>
    </w:p>
    <w:p w:rsidR="000C3D7E" w:rsidRPr="00B86134" w:rsidRDefault="000C3D7E" w:rsidP="000C3D7E">
      <w:pPr>
        <w:pStyle w:val="Default"/>
        <w:rPr>
          <w:sz w:val="20"/>
          <w:szCs w:val="20"/>
        </w:rPr>
      </w:pPr>
    </w:p>
    <w:p w:rsidR="000C3D7E" w:rsidRPr="00B86134" w:rsidRDefault="000C3D7E" w:rsidP="000C3D7E">
      <w:pPr>
        <w:pStyle w:val="Default"/>
        <w:spacing w:line="276" w:lineRule="auto"/>
        <w:rPr>
          <w:rFonts w:ascii="Arial" w:hAnsi="Arial" w:cs="Arial"/>
          <w:bCs/>
          <w:i/>
          <w:iCs/>
          <w:sz w:val="20"/>
          <w:szCs w:val="20"/>
        </w:rPr>
      </w:pPr>
      <w:r w:rsidRPr="00B86134">
        <w:rPr>
          <w:rFonts w:ascii="Arial" w:hAnsi="Arial" w:cs="Arial"/>
          <w:sz w:val="20"/>
          <w:szCs w:val="20"/>
        </w:rPr>
        <w:t xml:space="preserve">25. November 2014  </w:t>
      </w:r>
      <w:r w:rsidRPr="00B86134">
        <w:rPr>
          <w:rFonts w:ascii="Arial" w:hAnsi="Arial" w:cs="Arial"/>
          <w:bCs/>
          <w:i/>
          <w:iCs/>
          <w:sz w:val="20"/>
          <w:szCs w:val="20"/>
        </w:rPr>
        <w:t xml:space="preserve">Nr. 17/2014 </w:t>
      </w:r>
    </w:p>
    <w:p w:rsidR="000C3D7E" w:rsidRDefault="000C3D7E" w:rsidP="000C3D7E">
      <w:pPr>
        <w:pStyle w:val="Default"/>
        <w:spacing w:line="276" w:lineRule="auto"/>
        <w:rPr>
          <w:rFonts w:ascii="Arial" w:hAnsi="Arial" w:cs="Arial"/>
          <w:b/>
          <w:bCs/>
          <w:i/>
          <w:iCs/>
          <w:sz w:val="28"/>
          <w:szCs w:val="28"/>
        </w:rPr>
      </w:pPr>
    </w:p>
    <w:p w:rsidR="000C3D7E" w:rsidRPr="000C3D7E" w:rsidRDefault="000C3D7E" w:rsidP="00B86134">
      <w:pPr>
        <w:pStyle w:val="Default"/>
        <w:spacing w:line="360" w:lineRule="auto"/>
        <w:rPr>
          <w:rFonts w:ascii="Arial" w:hAnsi="Arial" w:cs="Arial"/>
          <w:b/>
          <w:bCs/>
          <w:iCs/>
          <w:sz w:val="28"/>
          <w:szCs w:val="28"/>
        </w:rPr>
      </w:pPr>
      <w:r w:rsidRPr="000C3D7E">
        <w:rPr>
          <w:rFonts w:ascii="Arial" w:hAnsi="Arial" w:cs="Arial"/>
          <w:b/>
          <w:bCs/>
          <w:iCs/>
          <w:sz w:val="28"/>
          <w:szCs w:val="28"/>
        </w:rPr>
        <w:t xml:space="preserve">Kinderbezogene Entgeltbestandteile </w:t>
      </w:r>
    </w:p>
    <w:p w:rsidR="000C3D7E" w:rsidRDefault="000C3D7E" w:rsidP="00B86134">
      <w:pPr>
        <w:pStyle w:val="Default"/>
        <w:spacing w:line="360" w:lineRule="auto"/>
        <w:rPr>
          <w:rFonts w:ascii="Arial" w:hAnsi="Arial" w:cs="Arial"/>
          <w:b/>
          <w:bCs/>
          <w:iCs/>
        </w:rPr>
      </w:pPr>
      <w:r w:rsidRPr="000C3D7E">
        <w:rPr>
          <w:rFonts w:ascii="Arial" w:hAnsi="Arial" w:cs="Arial"/>
          <w:b/>
          <w:bCs/>
          <w:iCs/>
        </w:rPr>
        <w:t xml:space="preserve">Herabsetzung der Altersgrenze wird vom Bundesverfassungsgericht überprüft </w:t>
      </w:r>
    </w:p>
    <w:p w:rsidR="000C3D7E" w:rsidRPr="000C3D7E" w:rsidRDefault="000C3D7E" w:rsidP="000C3D7E">
      <w:pPr>
        <w:pStyle w:val="Default"/>
        <w:spacing w:line="276" w:lineRule="auto"/>
        <w:rPr>
          <w:rFonts w:ascii="Arial" w:hAnsi="Arial" w:cs="Arial"/>
          <w:b/>
        </w:rPr>
      </w:pP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Liebe Kolleginnen, liebe Kollegen,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das Bundesverfassungsgericht wird sich erneut mit der Frage beschäftigen, ob die von 27 auf 25 Jahre herabgesetzte Altersgrenze für den Bezug von Kindergeld verfassungs-gemäß ist (Az. 2 </w:t>
      </w:r>
      <w:proofErr w:type="spellStart"/>
      <w:r w:rsidRPr="00E302DE">
        <w:rPr>
          <w:rFonts w:ascii="Arial" w:hAnsi="Arial" w:cs="Arial"/>
        </w:rPr>
        <w:t>BvR</w:t>
      </w:r>
      <w:proofErr w:type="spellEnd"/>
      <w:r w:rsidRPr="00E302DE">
        <w:rPr>
          <w:rFonts w:ascii="Arial" w:hAnsi="Arial" w:cs="Arial"/>
        </w:rPr>
        <w:t xml:space="preserve"> 646/14).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Mit dem Steueränderungsgesetz 2007 war unter anderem die Altersgrenze für den </w:t>
      </w:r>
      <w:proofErr w:type="spellStart"/>
      <w:r w:rsidRPr="00E302DE">
        <w:rPr>
          <w:rFonts w:ascii="Arial" w:hAnsi="Arial" w:cs="Arial"/>
        </w:rPr>
        <w:t>Be</w:t>
      </w:r>
      <w:proofErr w:type="spellEnd"/>
      <w:r w:rsidRPr="00E302DE">
        <w:rPr>
          <w:rFonts w:ascii="Arial" w:hAnsi="Arial" w:cs="Arial"/>
        </w:rPr>
        <w:t xml:space="preserve">-zug von Kindergeld von 27 auf 25 Jahre abgesenkt worden. Es ist nicht auszuschließen, dass diese Herabsetzung der Altersgrenze verfassungswidrig ist. Daher hatte der </w:t>
      </w:r>
      <w:r w:rsidRPr="00E302DE">
        <w:rPr>
          <w:rFonts w:ascii="Arial" w:hAnsi="Arial" w:cs="Arial"/>
          <w:b/>
        </w:rPr>
        <w:t>dbb</w:t>
      </w:r>
      <w:r w:rsidRPr="00E302DE">
        <w:rPr>
          <w:rFonts w:ascii="Arial" w:hAnsi="Arial" w:cs="Arial"/>
        </w:rPr>
        <w:t xml:space="preserve"> mit dbb Info Nr. 27/2014 Eltern, die durch die Regelung Nachteile erleiden, empfohlen, gegen Kindergeld- bzw. Steuerbescheide binnen eines Monats Einspruch einzulegen und unter Verweis auf das laufende Verfahren beim Bundesverfassungsgericht (Az. 2 </w:t>
      </w:r>
      <w:proofErr w:type="spellStart"/>
      <w:r w:rsidRPr="00E302DE">
        <w:rPr>
          <w:rFonts w:ascii="Arial" w:hAnsi="Arial" w:cs="Arial"/>
        </w:rPr>
        <w:t>BvR</w:t>
      </w:r>
      <w:proofErr w:type="spellEnd"/>
      <w:r w:rsidRPr="00E302DE">
        <w:rPr>
          <w:rFonts w:ascii="Arial" w:hAnsi="Arial" w:cs="Arial"/>
        </w:rPr>
        <w:t xml:space="preserve"> 646/2014) ein Ruhen des Verfahrens beantragen.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Zahlreiche Tarifregelungen sind vom Bezug von Kindergeld abhängig. Hierbei handelt es sich zum Beispiel um die </w:t>
      </w:r>
      <w:r w:rsidRPr="00E302DE">
        <w:rPr>
          <w:rFonts w:ascii="Arial" w:hAnsi="Arial" w:cs="Arial"/>
          <w:b/>
        </w:rPr>
        <w:t>§§ 11 TVÜ-Länder</w:t>
      </w:r>
      <w:r w:rsidRPr="00E302DE">
        <w:rPr>
          <w:rFonts w:ascii="Arial" w:hAnsi="Arial" w:cs="Arial"/>
        </w:rPr>
        <w:t xml:space="preserve">, </w:t>
      </w:r>
    </w:p>
    <w:p w:rsidR="000C3D7E" w:rsidRPr="00E302DE" w:rsidRDefault="000C3D7E" w:rsidP="000C3D7E">
      <w:pPr>
        <w:pStyle w:val="Default"/>
        <w:spacing w:line="276" w:lineRule="auto"/>
        <w:rPr>
          <w:rFonts w:ascii="Arial" w:hAnsi="Arial" w:cs="Arial"/>
          <w:sz w:val="16"/>
          <w:szCs w:val="16"/>
        </w:rPr>
      </w:pPr>
      <w:r w:rsidRPr="00E302DE">
        <w:rPr>
          <w:rFonts w:ascii="Arial" w:hAnsi="Arial" w:cs="Arial"/>
          <w:sz w:val="16"/>
          <w:szCs w:val="16"/>
        </w:rPr>
        <w:t xml:space="preserve">11 TVÜ-H, 11 TVÜ-VKA, 11 TVÜ-Bund, 10 TVÜ-BA, 23 TV-N Bayern, 3 TV-EL, 23a TV-H, 22 TV-V.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Sollte das Bundesverfassungsgericht die Verfassungswidrigkeit feststellen, hätte diese Entscheidung auch Auswirkungen auf die Gewährung der kinderbezogenen Entgeltbestandteile einer Vielzahl von Tarifverträgen. Es ist daher zur Wahrung eventueller Rechte geboten, aktiv zu werden. Daher sollten Tarifbeschäftigte, die durch die herabgesetzte Altersgrenze Nachteile erleiden, unter Verweis auf das Verfahren beim Bundesverfassungsgericht bei ihrem Arbeitgeber die Zahlung der kinderbezogenen Entgeltbestandteile für das in Betracht kommende Kind geltend machen.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Die einmal durchgeführte schriftliche Geltendmachung wahrt den Anspruch unter </w:t>
      </w:r>
      <w:proofErr w:type="spellStart"/>
      <w:r w:rsidRPr="00E302DE">
        <w:rPr>
          <w:rFonts w:ascii="Arial" w:hAnsi="Arial" w:cs="Arial"/>
        </w:rPr>
        <w:t>Be-rücksichtigung</w:t>
      </w:r>
      <w:proofErr w:type="spellEnd"/>
      <w:r w:rsidRPr="00E302DE">
        <w:rPr>
          <w:rFonts w:ascii="Arial" w:hAnsi="Arial" w:cs="Arial"/>
        </w:rPr>
        <w:t xml:space="preserve"> einer tariflichen Ausschlussfrist auch für die Zukunft und unterliegt der Regelverjährung von drei Jahren.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Ein entsprechender Antrag zur Geltendmachung ist diesem Rundschreiben als Anlage beigefügt. </w:t>
      </w:r>
    </w:p>
    <w:p w:rsidR="000C3D7E" w:rsidRPr="00E302DE" w:rsidRDefault="000C3D7E" w:rsidP="000C3D7E">
      <w:pPr>
        <w:pStyle w:val="Default"/>
        <w:spacing w:line="276" w:lineRule="auto"/>
        <w:rPr>
          <w:rFonts w:ascii="Arial" w:hAnsi="Arial" w:cs="Arial"/>
        </w:rPr>
      </w:pP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Mit kollegialen Grüßen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Willi R u s </w:t>
      </w:r>
      <w:proofErr w:type="spellStart"/>
      <w:r w:rsidRPr="00E302DE">
        <w:rPr>
          <w:rFonts w:ascii="Arial" w:hAnsi="Arial" w:cs="Arial"/>
        </w:rPr>
        <w:t>s</w:t>
      </w:r>
      <w:proofErr w:type="spellEnd"/>
      <w:r w:rsidRPr="00E302DE">
        <w:rPr>
          <w:rFonts w:ascii="Arial" w:hAnsi="Arial" w:cs="Arial"/>
        </w:rPr>
        <w:t xml:space="preserve">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Zweiter Vorsitzender des dbb </w:t>
      </w:r>
    </w:p>
    <w:p w:rsidR="000C3D7E" w:rsidRPr="00E302DE" w:rsidRDefault="000C3D7E" w:rsidP="000C3D7E">
      <w:pPr>
        <w:pStyle w:val="Default"/>
        <w:spacing w:line="276" w:lineRule="auto"/>
        <w:rPr>
          <w:rFonts w:ascii="Arial" w:hAnsi="Arial" w:cs="Arial"/>
        </w:rPr>
      </w:pPr>
      <w:r w:rsidRPr="00E302DE">
        <w:rPr>
          <w:rFonts w:ascii="Arial" w:hAnsi="Arial" w:cs="Arial"/>
        </w:rPr>
        <w:t xml:space="preserve">Fachvorstand Tarifpolitik </w:t>
      </w:r>
    </w:p>
    <w:p w:rsidR="00444857" w:rsidRPr="00E302DE" w:rsidRDefault="000C3D7E" w:rsidP="000C3D7E">
      <w:pPr>
        <w:spacing w:line="276" w:lineRule="auto"/>
        <w:rPr>
          <w:szCs w:val="24"/>
        </w:rPr>
      </w:pPr>
      <w:r w:rsidRPr="00E302DE">
        <w:rPr>
          <w:rFonts w:cs="Arial"/>
          <w:b/>
          <w:bCs/>
          <w:szCs w:val="24"/>
        </w:rPr>
        <w:t>Anlage</w:t>
      </w:r>
    </w:p>
    <w:sectPr w:rsidR="00444857" w:rsidRPr="00E302DE" w:rsidSect="007603F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3C" w:rsidRDefault="00613D3C" w:rsidP="000C3D7E">
      <w:pPr>
        <w:spacing w:line="240" w:lineRule="auto"/>
      </w:pPr>
      <w:r>
        <w:separator/>
      </w:r>
    </w:p>
  </w:endnote>
  <w:endnote w:type="continuationSeparator" w:id="0">
    <w:p w:rsidR="00613D3C" w:rsidRDefault="00613D3C" w:rsidP="000C3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3C" w:rsidRDefault="00613D3C" w:rsidP="000C3D7E">
      <w:pPr>
        <w:spacing w:line="240" w:lineRule="auto"/>
      </w:pPr>
      <w:r>
        <w:separator/>
      </w:r>
    </w:p>
  </w:footnote>
  <w:footnote w:type="continuationSeparator" w:id="0">
    <w:p w:rsidR="00613D3C" w:rsidRDefault="00613D3C" w:rsidP="000C3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4" w:rsidRPr="00A33954" w:rsidRDefault="00A33954" w:rsidP="00A33954">
    <w:pPr>
      <w:pStyle w:val="Kopfzeile"/>
      <w:jc w:val="left"/>
      <w:rPr>
        <w:i/>
        <w:sz w:val="16"/>
        <w:szCs w:val="16"/>
      </w:rPr>
    </w:pPr>
    <w:r>
      <w:rPr>
        <w:noProof/>
        <w:lang w:eastAsia="de-DE"/>
      </w:rPr>
      <w:drawing>
        <wp:anchor distT="0" distB="0" distL="114300" distR="114300" simplePos="0" relativeHeight="251658240" behindDoc="1" locked="0" layoutInCell="1" allowOverlap="1">
          <wp:simplePos x="0" y="0"/>
          <wp:positionH relativeFrom="column">
            <wp:posOffset>3129280</wp:posOffset>
          </wp:positionH>
          <wp:positionV relativeFrom="paragraph">
            <wp:posOffset>83820</wp:posOffset>
          </wp:positionV>
          <wp:extent cx="676275" cy="428625"/>
          <wp:effectExtent l="19050" t="0" r="9525" b="0"/>
          <wp:wrapNone/>
          <wp:docPr id="2" name="Bild 1" descr="D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G"/>
                  <pic:cNvPicPr>
                    <a:picLocks noChangeAspect="1" noChangeArrowheads="1"/>
                  </pic:cNvPicPr>
                </pic:nvPicPr>
                <pic:blipFill>
                  <a:blip r:embed="rId1"/>
                  <a:srcRect/>
                  <a:stretch>
                    <a:fillRect/>
                  </a:stretch>
                </pic:blipFill>
                <pic:spPr bwMode="auto">
                  <a:xfrm>
                    <a:off x="0" y="0"/>
                    <a:ext cx="675551" cy="428166"/>
                  </a:xfrm>
                  <a:prstGeom prst="rect">
                    <a:avLst/>
                  </a:prstGeom>
                  <a:noFill/>
                  <a:ln w="9525">
                    <a:noFill/>
                    <a:miter lim="800000"/>
                    <a:headEnd/>
                    <a:tailEnd/>
                  </a:ln>
                </pic:spPr>
              </pic:pic>
            </a:graphicData>
          </a:graphic>
        </wp:anchor>
      </w:drawing>
    </w:r>
    <w:r>
      <w:rPr>
        <w:noProof/>
        <w:lang w:eastAsia="de-DE"/>
      </w:rPr>
      <w:drawing>
        <wp:inline distT="0" distB="0" distL="0" distR="0">
          <wp:extent cx="2562225" cy="6858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562225" cy="685800"/>
                  </a:xfrm>
                  <a:prstGeom prst="rect">
                    <a:avLst/>
                  </a:prstGeom>
                  <a:noFill/>
                  <a:ln w="9525">
                    <a:noFill/>
                    <a:miter lim="800000"/>
                    <a:headEnd/>
                    <a:tailEnd/>
                  </a:ln>
                </pic:spPr>
              </pic:pic>
            </a:graphicData>
          </a:graphic>
        </wp:inline>
      </w:drawing>
    </w:r>
    <w:r>
      <w:rPr>
        <w:i/>
        <w:sz w:val="16"/>
        <w:szCs w:val="16"/>
      </w:rPr>
      <w:t xml:space="preserve">                </w:t>
    </w:r>
    <w:r w:rsidRPr="00A33954">
      <w:rPr>
        <w:b/>
        <w:sz w:val="16"/>
        <w:szCs w:val="16"/>
      </w:rPr>
      <w:t xml:space="preserve"> Deutsche Justiz – Gewerkschaft NRW</w:t>
    </w:r>
  </w:p>
  <w:p w:rsidR="00A33954" w:rsidRPr="00A33954" w:rsidRDefault="00A33954" w:rsidP="00A33954">
    <w:pPr>
      <w:pStyle w:val="Kopfzeile"/>
      <w:jc w:val="right"/>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3D7E"/>
    <w:rsid w:val="0000654D"/>
    <w:rsid w:val="000C3D7E"/>
    <w:rsid w:val="002255C6"/>
    <w:rsid w:val="00237E24"/>
    <w:rsid w:val="00323A22"/>
    <w:rsid w:val="00444857"/>
    <w:rsid w:val="004734BE"/>
    <w:rsid w:val="00613D3C"/>
    <w:rsid w:val="007603F1"/>
    <w:rsid w:val="00982315"/>
    <w:rsid w:val="00A33954"/>
    <w:rsid w:val="00A516EB"/>
    <w:rsid w:val="00B86134"/>
    <w:rsid w:val="00DF37AB"/>
    <w:rsid w:val="00E302DE"/>
    <w:rsid w:val="00EF7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36774-7646-4D7A-B931-18BC98A1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3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C3D7E"/>
    <w:pPr>
      <w:autoSpaceDE w:val="0"/>
      <w:autoSpaceDN w:val="0"/>
      <w:adjustRightInd w:val="0"/>
      <w:spacing w:line="240" w:lineRule="auto"/>
      <w:jc w:val="left"/>
    </w:pPr>
    <w:rPr>
      <w:rFonts w:ascii="Calibri" w:hAnsi="Calibri" w:cs="Calibri"/>
      <w:color w:val="000000"/>
      <w:szCs w:val="24"/>
    </w:rPr>
  </w:style>
  <w:style w:type="paragraph" w:styleId="Kopfzeile">
    <w:name w:val="header"/>
    <w:basedOn w:val="Standard"/>
    <w:link w:val="KopfzeileZchn"/>
    <w:unhideWhenUsed/>
    <w:rsid w:val="000C3D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C3D7E"/>
  </w:style>
  <w:style w:type="paragraph" w:styleId="Fuzeile">
    <w:name w:val="footer"/>
    <w:basedOn w:val="Standard"/>
    <w:link w:val="FuzeileZchn"/>
    <w:uiPriority w:val="99"/>
    <w:semiHidden/>
    <w:unhideWhenUsed/>
    <w:rsid w:val="000C3D7E"/>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C3D7E"/>
  </w:style>
  <w:style w:type="paragraph" w:styleId="Sprechblasentext">
    <w:name w:val="Balloon Text"/>
    <w:basedOn w:val="Standard"/>
    <w:link w:val="SprechblasentextZchn"/>
    <w:uiPriority w:val="99"/>
    <w:semiHidden/>
    <w:unhideWhenUsed/>
    <w:rsid w:val="000C3D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4FE57-097F-4745-B4CD-15F28352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Winkelmann ursula</dc:creator>
  <cp:lastModifiedBy>Günter Uhlworm</cp:lastModifiedBy>
  <cp:revision>2</cp:revision>
  <dcterms:created xsi:type="dcterms:W3CDTF">2014-12-11T12:56:00Z</dcterms:created>
  <dcterms:modified xsi:type="dcterms:W3CDTF">2014-12-11T12:56:00Z</dcterms:modified>
</cp:coreProperties>
</file>